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A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РОО «</w:t>
      </w:r>
      <w:r w:rsidRPr="00122555">
        <w:rPr>
          <w:rFonts w:ascii="Times New Roman" w:hAnsi="Times New Roman" w:cs="Times New Roman"/>
          <w:b/>
          <w:sz w:val="28"/>
          <w:szCs w:val="28"/>
        </w:rPr>
        <w:t>Профсоюз работников торговли, общественного питания и потребкооперации</w:t>
      </w:r>
    </w:p>
    <w:p w:rsidR="00DD216A" w:rsidRPr="00122555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55">
        <w:rPr>
          <w:rFonts w:ascii="Times New Roman" w:hAnsi="Times New Roman" w:cs="Times New Roman"/>
          <w:b/>
          <w:sz w:val="28"/>
          <w:szCs w:val="28"/>
        </w:rPr>
        <w:t xml:space="preserve"> г. Москвы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16A" w:rsidRPr="00122555" w:rsidRDefault="00DD216A" w:rsidP="00DD2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6A" w:rsidRPr="00C6442A" w:rsidRDefault="00DD216A" w:rsidP="00DD216A">
      <w:pPr>
        <w:jc w:val="center"/>
        <w:rPr>
          <w:rFonts w:ascii="Arial" w:hAnsi="Arial" w:cs="Arial"/>
        </w:rPr>
      </w:pPr>
    </w:p>
    <w:p w:rsidR="00DD216A" w:rsidRPr="009937E8" w:rsidRDefault="00DD216A" w:rsidP="00DD216A">
      <w:pPr>
        <w:jc w:val="center"/>
        <w:rPr>
          <w:rFonts w:ascii="Georgia" w:hAnsi="Georgia"/>
          <w:b/>
          <w:sz w:val="44"/>
          <w:szCs w:val="44"/>
        </w:rPr>
      </w:pPr>
      <w:r w:rsidRPr="00530723">
        <w:rPr>
          <w:rFonts w:ascii="Georgia" w:hAnsi="Georgia"/>
          <w:b/>
          <w:sz w:val="44"/>
          <w:szCs w:val="44"/>
        </w:rPr>
        <w:t>И</w:t>
      </w:r>
      <w:r w:rsidRPr="009937E8">
        <w:rPr>
          <w:rFonts w:ascii="Georgia" w:hAnsi="Georgia"/>
          <w:b/>
          <w:sz w:val="44"/>
          <w:szCs w:val="44"/>
        </w:rPr>
        <w:t xml:space="preserve">нформационный </w:t>
      </w:r>
    </w:p>
    <w:p w:rsidR="00DD216A" w:rsidRPr="009937E8" w:rsidRDefault="00DD216A" w:rsidP="00DD216A">
      <w:pPr>
        <w:jc w:val="center"/>
        <w:rPr>
          <w:rFonts w:ascii="Georgia" w:hAnsi="Georgia"/>
          <w:b/>
          <w:sz w:val="28"/>
          <w:szCs w:val="28"/>
        </w:rPr>
      </w:pPr>
      <w:r w:rsidRPr="009937E8">
        <w:rPr>
          <w:rFonts w:ascii="Georgia" w:hAnsi="Georgia"/>
          <w:b/>
          <w:sz w:val="44"/>
          <w:szCs w:val="44"/>
        </w:rPr>
        <w:t xml:space="preserve">бюллетень </w:t>
      </w:r>
    </w:p>
    <w:p w:rsidR="00DD216A" w:rsidRDefault="00DD216A" w:rsidP="00DD216A">
      <w:pPr>
        <w:jc w:val="center"/>
        <w:rPr>
          <w:rFonts w:ascii="Book Antiqua" w:hAnsi="Book Antiqua" w:cs="Courier New"/>
          <w:b/>
        </w:rPr>
      </w:pP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  <w:r w:rsidRPr="00981CA2">
        <w:rPr>
          <w:rFonts w:ascii="Arial" w:hAnsi="Arial" w:cs="Arial"/>
          <w:b/>
        </w:rPr>
        <w:t>( в помощь профсоюзн</w:t>
      </w:r>
      <w:r w:rsidRPr="000B1E42">
        <w:rPr>
          <w:rFonts w:ascii="Arial" w:hAnsi="Arial" w:cs="Arial"/>
          <w:b/>
        </w:rPr>
        <w:t>ым</w:t>
      </w:r>
      <w:r w:rsidRPr="00981CA2">
        <w:rPr>
          <w:rFonts w:ascii="Arial" w:hAnsi="Arial" w:cs="Arial"/>
          <w:b/>
        </w:rPr>
        <w:t xml:space="preserve"> организаци</w:t>
      </w:r>
      <w:r>
        <w:rPr>
          <w:rFonts w:ascii="Arial" w:hAnsi="Arial" w:cs="Arial"/>
          <w:b/>
        </w:rPr>
        <w:t>ям</w:t>
      </w:r>
      <w:r w:rsidRPr="00981CA2">
        <w:rPr>
          <w:rFonts w:ascii="Arial" w:hAnsi="Arial" w:cs="Arial"/>
          <w:b/>
        </w:rPr>
        <w:t>)</w:t>
      </w: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</w:p>
    <w:p w:rsid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Default="00DD216A" w:rsidP="00DD216A">
      <w:pPr>
        <w:jc w:val="center"/>
        <w:rPr>
          <w:lang w:val="en-US"/>
        </w:rPr>
      </w:pPr>
    </w:p>
    <w:p w:rsidR="00DD216A" w:rsidRDefault="00DD216A" w:rsidP="00DD216A">
      <w:pPr>
        <w:jc w:val="center"/>
        <w:rPr>
          <w:lang w:val="en-US"/>
        </w:rPr>
      </w:pPr>
    </w:p>
    <w:p w:rsidR="00DD216A" w:rsidRDefault="00DD216A" w:rsidP="00DD216A">
      <w:pPr>
        <w:jc w:val="center"/>
        <w:rPr>
          <w:lang w:val="en-US"/>
        </w:rPr>
      </w:pPr>
    </w:p>
    <w:p w:rsidR="00DD216A" w:rsidRPr="00DD216A" w:rsidRDefault="00DD216A" w:rsidP="00DD216A">
      <w:pPr>
        <w:jc w:val="center"/>
        <w:rPr>
          <w:lang w:val="en-US"/>
        </w:rPr>
      </w:pPr>
    </w:p>
    <w:p w:rsidR="00DD216A" w:rsidRDefault="00DD216A" w:rsidP="00DD216A">
      <w:pPr>
        <w:jc w:val="center"/>
      </w:pPr>
    </w:p>
    <w:p w:rsidR="00DD216A" w:rsidRPr="00163C21" w:rsidRDefault="00DD216A" w:rsidP="00DD216A">
      <w:pPr>
        <w:jc w:val="center"/>
        <w:rPr>
          <w:rFonts w:ascii="Arial" w:hAnsi="Arial" w:cs="Arial"/>
          <w:b/>
        </w:rPr>
      </w:pPr>
      <w:r w:rsidRPr="00C6442A">
        <w:rPr>
          <w:rFonts w:ascii="Arial" w:hAnsi="Arial" w:cs="Arial"/>
          <w:b/>
        </w:rPr>
        <w:t>Москва,</w:t>
      </w:r>
      <w:r>
        <w:rPr>
          <w:rFonts w:ascii="Arial" w:hAnsi="Arial" w:cs="Arial"/>
          <w:b/>
        </w:rPr>
        <w:t xml:space="preserve"> ноябрь  20</w:t>
      </w:r>
      <w:r w:rsidRPr="001158F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4г. </w:t>
      </w:r>
    </w:p>
    <w:p w:rsidR="00DD216A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D216A" w:rsidRDefault="00DD216A" w:rsidP="00DD216A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40B">
        <w:rPr>
          <w:rFonts w:ascii="Times New Roman" w:hAnsi="Times New Roman" w:cs="Times New Roman"/>
          <w:sz w:val="24"/>
          <w:szCs w:val="24"/>
        </w:rPr>
        <w:t xml:space="preserve">О социально-экономическом положении в г. Москве на 1 </w:t>
      </w:r>
      <w:r>
        <w:rPr>
          <w:rFonts w:ascii="Times New Roman" w:hAnsi="Times New Roman" w:cs="Times New Roman"/>
          <w:sz w:val="24"/>
          <w:szCs w:val="24"/>
        </w:rPr>
        <w:t>сентября  2024</w:t>
      </w:r>
      <w:r w:rsidRPr="00F424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216A" w:rsidRPr="009C4F68" w:rsidRDefault="00DD216A" w:rsidP="00DD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9C4F68" w:rsidRDefault="00415FBB" w:rsidP="00DD216A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D216A" w:rsidRPr="009C4F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30.09.2024 N 339-ФЗ</w:t>
        </w:r>
      </w:hyperlink>
      <w:r w:rsidR="00DD216A" w:rsidRPr="009C4F68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статью 152 Трудового кодекса РФ»;</w:t>
      </w:r>
    </w:p>
    <w:p w:rsidR="00DD216A" w:rsidRPr="009C4F68" w:rsidRDefault="00DD216A" w:rsidP="00DD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Default="00DD216A" w:rsidP="00DD216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D83C31">
        <w:rPr>
          <w:iCs/>
        </w:rPr>
        <w:t xml:space="preserve">Федеральный </w:t>
      </w:r>
      <w:hyperlink r:id="rId8" w:history="1">
        <w:r w:rsidRPr="00D83C31">
          <w:rPr>
            <w:rStyle w:val="a3"/>
            <w:iCs/>
          </w:rPr>
          <w:t>закон</w:t>
        </w:r>
      </w:hyperlink>
      <w:r w:rsidRPr="00D83C31">
        <w:rPr>
          <w:iCs/>
        </w:rPr>
        <w:t xml:space="preserve"> от 09.11.2024 N 381-ФЗ</w:t>
      </w:r>
      <w:r>
        <w:rPr>
          <w:iCs/>
        </w:rPr>
        <w:t>;</w:t>
      </w:r>
    </w:p>
    <w:p w:rsidR="00DD216A" w:rsidRDefault="00DD216A" w:rsidP="00DD216A">
      <w:pPr>
        <w:pStyle w:val="a5"/>
      </w:pPr>
    </w:p>
    <w:p w:rsidR="00DD216A" w:rsidRPr="009C4F68" w:rsidRDefault="00415FBB" w:rsidP="00DD21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2"/>
          <w:szCs w:val="22"/>
        </w:rPr>
      </w:pPr>
      <w:hyperlink r:id="rId9" w:history="1">
        <w:r w:rsidR="00DD216A" w:rsidRPr="009C4F68">
          <w:rPr>
            <w:bCs/>
          </w:rPr>
          <w:t>Федеральный закон от 29.10.2024 N 365-ФЗ "О внесении изменения в статью 1 Федерального закона "О минимальном размере оплаты труда"</w:t>
        </w:r>
      </w:hyperlink>
      <w:r w:rsidR="00DD216A">
        <w:t>.</w:t>
      </w:r>
    </w:p>
    <w:p w:rsidR="00DD216A" w:rsidRDefault="00DD216A" w:rsidP="00DD216A">
      <w:pPr>
        <w:pStyle w:val="a5"/>
      </w:pPr>
    </w:p>
    <w:p w:rsidR="00DD216A" w:rsidRPr="009C4F68" w:rsidRDefault="00DD216A" w:rsidP="00DD21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9C4F68">
        <w:t xml:space="preserve"> Постановление Правительства Москвы </w:t>
      </w:r>
      <w:r w:rsidRPr="009C4F68">
        <w:rPr>
          <w:sz w:val="22"/>
          <w:szCs w:val="22"/>
        </w:rPr>
        <w:t>от 5 ноября 2024 г. N 2482-ПП «Об увеличении величины прожиточного минимума в городе Москве на 2025год».</w:t>
      </w:r>
    </w:p>
    <w:p w:rsidR="00DD216A" w:rsidRDefault="00DD216A" w:rsidP="00DD216A">
      <w:pPr>
        <w:pStyle w:val="a5"/>
      </w:pPr>
    </w:p>
    <w:p w:rsidR="00DD216A" w:rsidRDefault="00DD216A" w:rsidP="00DD21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44"/>
        <w:jc w:val="both"/>
      </w:pPr>
      <w:r w:rsidRPr="009C4F68">
        <w:t>Постановление Правительства РФ от 04.10.2024 N 1335 "О переносе выходных дней в 2025 году"</w:t>
      </w:r>
      <w:r>
        <w:t>.</w:t>
      </w:r>
    </w:p>
    <w:p w:rsidR="00DD216A" w:rsidRDefault="00DD216A" w:rsidP="00DD216A">
      <w:pPr>
        <w:pStyle w:val="a5"/>
        <w:rPr>
          <w:bCs/>
        </w:rPr>
      </w:pPr>
    </w:p>
    <w:p w:rsidR="00DD216A" w:rsidRPr="009C4F68" w:rsidRDefault="00DD216A" w:rsidP="00DD21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284"/>
        <w:jc w:val="both"/>
        <w:outlineLvl w:val="0"/>
        <w:rPr>
          <w:bCs/>
          <w:kern w:val="36"/>
        </w:rPr>
      </w:pPr>
      <w:r w:rsidRPr="009C4F68">
        <w:rPr>
          <w:bCs/>
        </w:rPr>
        <w:t>Роструд запустил сервис для заказа профилактического визита инспекции труда (18.09.2024)</w:t>
      </w:r>
      <w:r>
        <w:rPr>
          <w:bCs/>
        </w:rPr>
        <w:t>.</w:t>
      </w:r>
    </w:p>
    <w:p w:rsidR="00DD216A" w:rsidRDefault="00DD216A" w:rsidP="00DD216A">
      <w:pPr>
        <w:pStyle w:val="a5"/>
        <w:rPr>
          <w:bCs/>
          <w:kern w:val="36"/>
        </w:rPr>
      </w:pPr>
    </w:p>
    <w:p w:rsidR="00DD216A" w:rsidRPr="009C4F68" w:rsidRDefault="00DD216A" w:rsidP="00DD21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44"/>
        <w:jc w:val="both"/>
        <w:outlineLvl w:val="0"/>
        <w:rPr>
          <w:bCs/>
          <w:kern w:val="36"/>
        </w:rPr>
      </w:pPr>
      <w:r w:rsidRPr="009C4F68">
        <w:rPr>
          <w:bCs/>
          <w:kern w:val="36"/>
        </w:rPr>
        <w:t>Роструд: если стороны не договорились о разделении отпуска на части, его предоставляют полностью</w:t>
      </w:r>
    </w:p>
    <w:p w:rsidR="00DD216A" w:rsidRPr="00C8404C" w:rsidRDefault="00DD216A" w:rsidP="00DD2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B73B70" w:rsidRDefault="00DD216A" w:rsidP="00DD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4A7A7B" w:rsidRDefault="00DD216A" w:rsidP="00DD216A">
      <w:pPr>
        <w:pStyle w:val="Default"/>
        <w:numPr>
          <w:ilvl w:val="0"/>
          <w:numId w:val="3"/>
        </w:numPr>
        <w:jc w:val="center"/>
      </w:pPr>
      <w:r w:rsidRPr="009C4F68">
        <w:rPr>
          <w:b/>
          <w:bCs/>
        </w:rPr>
        <w:lastRenderedPageBreak/>
        <w:t>О социально-экономическом положении в г. Москве</w:t>
      </w:r>
      <w:r>
        <w:rPr>
          <w:b/>
          <w:bCs/>
        </w:rPr>
        <w:t xml:space="preserve"> </w:t>
      </w:r>
      <w:r w:rsidRPr="009C4F68">
        <w:rPr>
          <w:b/>
          <w:bCs/>
        </w:rPr>
        <w:t>на 1 сентября 2024 года.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Численность постоянного населения г. Москвы на 1 января 2024 года составила 13 154 708 человек.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Миграционный прирост в январе-июле 2024 года – 8 910 человек. (Справочно: в январе-июле 2023 год миграционный прирост – 10 088 человек).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Численность рабочей силы по предварительным итогам выборочного обследования рабочей силы в возрасте 15 лет и старше в среднем в июне-августе 2024 г. составила 7 226,8 тыс. человек, в их числе 7 158,0 тыс. человек или 99,0% были заняты в экономике и 68,8 тыс. человек (1,0%) не имели занятия, но активно его искали (в соответствии с методологией Международной Организации Труда они классифицируются как безработные).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Численность не занятых трудовой деятельностью граждан, состоящих на учете в органах государственной службы занятости населения, к концу августа 2024 г. составила 21 562 человека, из них 15 989 человек имели статус безработного, из них 9 791 человек получали пособие по безработице.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На конец августа 2024 г. уровень зарегистрированной безработицы составил 0,2% от численности рабочей силы.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В августе 2024 г. признано безработными 2 228 человек (их численность уменьшилась по сравнению с аналогичным периодом прошлого года на 677 человек). </w:t>
      </w:r>
      <w:r>
        <w:t xml:space="preserve">  </w:t>
      </w:r>
      <w:r w:rsidRPr="004A7A7B">
        <w:t xml:space="preserve">Численность трудоустроенных безработных в августе 2024 г. уменьшилась по сравнению с аналогичным периодом прошлого года на 608 человек и составила 1 588 человек.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Индекс промышленного производства по видам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</w:t>
      </w:r>
      <w:r w:rsidRPr="004A7A7B">
        <w:lastRenderedPageBreak/>
        <w:t xml:space="preserve">деятельность по ликвидации загрязнений» а в январе-августе 2024г. по сравнению с январем-августом 2023 г. составил 114,2%, в августе 2024 г. по сравнению с июлем 2024 г. – 103,7%.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В августе 2024 г. по сравнению с предыдущим месяцем индекс потребительских цен составил 100,3%, в том числе на продовольственные товары – 100,0%, непродовольственные товары – 100,4%, услуги – 100,4%.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Стоимость минимального набора продуктов питания, условно отражающая межрегиональную дифференциацию уровня потребительских цен на основные продукты питания, в августе 2024 г. составила 8 021,60 рубля в расчете на месяц и уменьшилась по сравнению с июлем 2024 г. на 0,8%, по отношению к декабрю предыдущего года увеличилась – на 13,4%.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Величина прожиточного минимума, установленная с 1 января 2024 г. постановлением Правительства Москвы от 17 октября 2023 г. № 1961-ПП, составила в расчёте на душу населения – 22 662 рубля, для трудоспособного населения – 25 879 рублей, для пенсионеров – 16 964 рубля, для детей – 19 586 рублей.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Соглашением о минимальной заработной плате в городе Москве на 2024 год между Правительством Москвы, московскими объединениями профсоюзов и московскими объединениями работодателей установлен размер минимальной заработной платы с 1 января 2024 г. в размере 29 389 рублей.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Среднемесячная номинальная заработная плата работников организаций, начисленная в июле 2024 г., по оперативным данным, составила 152 925,5 рубля и увеличилась по сравнению с июлем 2023 г. на 17,9%. Реальная заработная плата, рассчитанная с учетом индекса потребительских цен, в июле 2024 г. составила 107,2% к уровню июля 2023 г. </w:t>
      </w:r>
    </w:p>
    <w:p w:rsidR="00DD216A" w:rsidRPr="004A7A7B" w:rsidRDefault="00DD216A" w:rsidP="00DD216A">
      <w:pPr>
        <w:pStyle w:val="Default"/>
        <w:jc w:val="both"/>
      </w:pPr>
      <w:r>
        <w:lastRenderedPageBreak/>
        <w:t xml:space="preserve">            </w:t>
      </w:r>
      <w:r w:rsidRPr="004A7A7B">
        <w:t xml:space="preserve">На 1 июля 2024 г. число учтенных в Статистическом регистре хозяйствующих субъектов (Статрегистр) по Москве составило 1 075 825 единиц.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В августе 2024 года зарегистрировано 5,5 тыс. организаций (в августе 2023г. – 6,9 тыс.), количество официально ликвидированных организаций составило 3,9 тыс. (в августе 2023 г. – 0,9 тыс. организаций).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>В январе-июле 2024 г. сальдированный финансовый результат (прибыль минус убыток) организаций составил 4 564,6 млрд</w:t>
      </w:r>
      <w:r>
        <w:t>.</w:t>
      </w:r>
      <w:r w:rsidRPr="004A7A7B">
        <w:t xml:space="preserve"> рублей (9,9 тыс. организаций получили прибыль в размере 6 348,6 млрд</w:t>
      </w:r>
      <w:r>
        <w:t>.</w:t>
      </w:r>
      <w:r w:rsidRPr="004A7A7B">
        <w:t xml:space="preserve"> рублей, 4,1 тыс. организаций – убыток на сумму 1 784,0 млрд</w:t>
      </w:r>
      <w:r>
        <w:t>.</w:t>
      </w:r>
      <w:r w:rsidRPr="004A7A7B">
        <w:t xml:space="preserve"> рублей).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>На 1 августа 2024 г. суммарная задолженность по обязательствам организаций составила 97 054,9 млрд</w:t>
      </w:r>
      <w:r>
        <w:t>.</w:t>
      </w:r>
      <w:r w:rsidRPr="004A7A7B">
        <w:t xml:space="preserve"> рублей, из неё просроченная – 2 069,8 млрд</w:t>
      </w:r>
      <w:r>
        <w:t>.</w:t>
      </w:r>
      <w:r w:rsidRPr="004A7A7B">
        <w:t xml:space="preserve"> рублей или 2,1% от общей суммы задолженности (на 1 августа 2023 г. – 2,0%, на 1 июля 2024 года – 2,0%). </w:t>
      </w:r>
    </w:p>
    <w:p w:rsidR="00DD216A" w:rsidRPr="004A7A7B" w:rsidRDefault="00DD216A" w:rsidP="00DD216A">
      <w:pPr>
        <w:pStyle w:val="Default"/>
        <w:jc w:val="both"/>
      </w:pPr>
      <w:r w:rsidRPr="004A7A7B">
        <w:t>Кредиторская задолженность на 1 августа 2024 г. составила 48 108,7 млрд</w:t>
      </w:r>
      <w:r>
        <w:t>.</w:t>
      </w:r>
      <w:r w:rsidRPr="004A7A7B">
        <w:t xml:space="preserve"> рублей, из неё просроченная – 1 974,9 млрд</w:t>
      </w:r>
      <w:r>
        <w:t>.</w:t>
      </w:r>
      <w:r w:rsidRPr="004A7A7B">
        <w:t xml:space="preserve"> рублей или 4,1% от общей суммы кредиторской задолженности (на 1 августа 2023 г. – 3,8%, на 1 июля 2024 г. – 3,7%). </w:t>
      </w:r>
    </w:p>
    <w:p w:rsidR="00DD216A" w:rsidRPr="004A7A7B" w:rsidRDefault="00DD216A" w:rsidP="00DD216A">
      <w:pPr>
        <w:pStyle w:val="Default"/>
        <w:jc w:val="both"/>
      </w:pPr>
      <w:r w:rsidRPr="004A7A7B">
        <w:t>Дебиторская задолженность на 1 августа 2024 г. составила 42 643,0 млрд</w:t>
      </w:r>
      <w:r>
        <w:t>.</w:t>
      </w:r>
      <w:r w:rsidRPr="004A7A7B">
        <w:t xml:space="preserve"> рублей, из неё просроченная – 2 256,9 млрд</w:t>
      </w:r>
      <w:r>
        <w:t>.</w:t>
      </w:r>
      <w:r w:rsidRPr="004A7A7B">
        <w:t xml:space="preserve"> рублей или 5,3% от общей суммы дебиторской задолженности (на 1 августа 2023 г. – 4,8%, на 1 июля 2024 г. – 5,1%). </w:t>
      </w:r>
    </w:p>
    <w:p w:rsidR="00DD216A" w:rsidRPr="004A7A7B" w:rsidRDefault="00DD216A" w:rsidP="00DD216A">
      <w:pPr>
        <w:pStyle w:val="Default"/>
        <w:ind w:firstLine="708"/>
        <w:jc w:val="both"/>
      </w:pPr>
      <w:r w:rsidRPr="004A7A7B">
        <w:t xml:space="preserve">Суммарная задолженность по заработной плате на 1 сентября 2024 г. составила 43,3 млн рубля и по сравнению с 1 августа 2024 г. увеличилась на 2,7%. </w:t>
      </w:r>
    </w:p>
    <w:p w:rsidR="00DD216A" w:rsidRDefault="00DD216A" w:rsidP="00DD216A">
      <w:pPr>
        <w:pStyle w:val="Default"/>
        <w:ind w:firstLine="708"/>
        <w:jc w:val="both"/>
      </w:pPr>
      <w:r w:rsidRPr="004A7A7B">
        <w:t xml:space="preserve">Задолженность из-за несвоевременного получения денежных средств из бюджетов всех уровней на 1 сентября 2024 г. отсутствует. </w:t>
      </w:r>
    </w:p>
    <w:p w:rsidR="00DD216A" w:rsidRPr="004A7A7B" w:rsidRDefault="00DD216A" w:rsidP="00DD216A">
      <w:pPr>
        <w:pStyle w:val="Default"/>
        <w:ind w:firstLine="708"/>
        <w:jc w:val="both"/>
      </w:pPr>
    </w:p>
    <w:p w:rsidR="00DD216A" w:rsidRPr="004A7A7B" w:rsidRDefault="00DD216A" w:rsidP="00DD2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A7B">
        <w:rPr>
          <w:rFonts w:ascii="Times New Roman" w:hAnsi="Times New Roman" w:cs="Times New Roman"/>
          <w:b/>
          <w:sz w:val="24"/>
          <w:szCs w:val="24"/>
        </w:rPr>
        <w:t>По данным Мосстата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3066"/>
      </w:tblGrid>
      <w:tr w:rsidR="00DD216A" w:rsidRPr="00DD2F4C" w:rsidTr="00A82E21">
        <w:tc>
          <w:tcPr>
            <w:tcW w:w="3301" w:type="dxa"/>
          </w:tcPr>
          <w:p w:rsidR="00DD216A" w:rsidRPr="00DD2F4C" w:rsidRDefault="00DD216A" w:rsidP="00A82E21">
            <w:pPr>
              <w:shd w:val="clear" w:color="auto" w:fill="FFFFFF" w:themeFill="background1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D2F4C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5475" cy="1285875"/>
                  <wp:effectExtent l="19050" t="0" r="9525" b="0"/>
                  <wp:docPr id="5" name="Рисунок 1" descr="http://storage.consultant.ru/ondb/thumbs/202410/01/ROG7nAihFdj71RVSWTgSX3VCGmcBmbSa.280x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rage.consultant.ru/ondb/thumbs/202410/01/ROG7nAihFdj71RVSWTgSX3VCGmcBmbSa.280x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DD216A" w:rsidRPr="00DD2F4C" w:rsidRDefault="00DD216A" w:rsidP="00A82E2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</w:p>
          <w:p w:rsidR="00DD216A" w:rsidRPr="009C4F68" w:rsidRDefault="00DD216A" w:rsidP="00DD216A">
            <w:pPr>
              <w:pStyle w:val="a5"/>
              <w:numPr>
                <w:ilvl w:val="0"/>
                <w:numId w:val="3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 w:rsidRPr="009C4F68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Компенсация при увольнении неиспользованных отгулов за работу в выходные</w:t>
            </w:r>
          </w:p>
          <w:p w:rsidR="00DD216A" w:rsidRPr="00DD2F4C" w:rsidRDefault="00DD216A" w:rsidP="00A82E2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D216A" w:rsidRDefault="00415FBB" w:rsidP="00DD21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="00DD216A" w:rsidRPr="00DD2F4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Поправки</w:t>
        </w:r>
      </w:hyperlink>
      <w:r w:rsidR="00DD216A"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Трудовому кодексу РФ (ст.153 ТК РФ) обязывают работодателей выплачивать при увольнении компенсацию за неиспользованные </w:t>
      </w:r>
      <w:hyperlink r:id="rId12" w:history="1">
        <w:r w:rsidR="00DD216A" w:rsidRPr="00DD2F4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дни отдыха</w:t>
        </w:r>
      </w:hyperlink>
      <w:r w:rsidR="00DD216A"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работу в выходные и праздники. </w:t>
      </w:r>
    </w:p>
    <w:p w:rsidR="00DD216A" w:rsidRPr="00DD2F4C" w:rsidRDefault="00DD216A" w:rsidP="00DD21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16A" w:rsidRDefault="00DD216A" w:rsidP="00DD21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должен получить разницу </w:t>
      </w:r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</w:t>
      </w:r>
      <w:hyperlink r:id="rId13" w:history="1">
        <w:r w:rsidRPr="00DD2F4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повышенной</w:t>
        </w:r>
      </w:hyperlink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уже начисленной оплатой. </w:t>
      </w:r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обо всех не использованных в период трудовой деятельности у конкретного работодателя отгулах.</w:t>
      </w:r>
    </w:p>
    <w:p w:rsidR="00DD216A" w:rsidRPr="00DD2F4C" w:rsidRDefault="00DD216A" w:rsidP="00DD21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Pr="00DD2F4C" w:rsidRDefault="00DD216A" w:rsidP="00DD2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</w:t>
      </w:r>
      <w:hyperlink r:id="rId14" w:history="1">
        <w:r w:rsidRPr="00DD2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уточнили</w:t>
        </w:r>
      </w:hyperlink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взять день отдыха работник вправе в течение года с даты выполнения обязанностей в выходной или праздник.  </w:t>
      </w:r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 также может присоединить отгул к отпуску в этом периоде.</w:t>
      </w:r>
    </w:p>
    <w:p w:rsidR="00DD216A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Закон вступает в силу </w:t>
      </w:r>
      <w:hyperlink r:id="rId15" w:history="1">
        <w:r w:rsidRPr="00DD2F4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 1 марта 2025 года</w:t>
        </w:r>
      </w:hyperlink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216A" w:rsidRPr="00DD2F4C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16A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 тех пор применяют </w:t>
      </w:r>
      <w:hyperlink r:id="rId16" w:history="1">
        <w:r w:rsidRPr="00DD2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Конституционного Суда РФ</w:t>
        </w:r>
      </w:hyperlink>
      <w:r w:rsidRPr="00DD2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обязал при увольнении компенсировать такие неиспользованные отгулы.</w:t>
      </w:r>
    </w:p>
    <w:p w:rsidR="00DD216A" w:rsidRPr="00DD2F4C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Pr="00DD2F4C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Документ:  </w:t>
      </w:r>
      <w:hyperlink r:id="rId17" w:history="1">
        <w:r w:rsidRPr="00DD2F4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Федеральный закон от 30.09.2024 N 339-ФЗ</w:t>
        </w:r>
      </w:hyperlink>
    </w:p>
    <w:p w:rsidR="00DD216A" w:rsidRDefault="00DD216A" w:rsidP="00DD216A">
      <w:pPr>
        <w:pStyle w:val="1"/>
        <w:spacing w:before="0" w:beforeAutospacing="0" w:after="0" w:afterAutospacing="0"/>
        <w:jc w:val="both"/>
        <w:rPr>
          <w:color w:val="FF0000"/>
          <w:sz w:val="24"/>
          <w:szCs w:val="24"/>
        </w:rPr>
      </w:pPr>
    </w:p>
    <w:p w:rsidR="00DD216A" w:rsidRDefault="00DD216A" w:rsidP="00DD216A">
      <w:pPr>
        <w:pStyle w:val="1"/>
        <w:spacing w:before="0" w:beforeAutospacing="0" w:after="0" w:afterAutospacing="0"/>
        <w:jc w:val="both"/>
        <w:rPr>
          <w:color w:val="FF0000"/>
          <w:sz w:val="24"/>
          <w:szCs w:val="24"/>
        </w:rPr>
      </w:pPr>
    </w:p>
    <w:p w:rsidR="00DD216A" w:rsidRDefault="00DD216A" w:rsidP="00DD216A">
      <w:pPr>
        <w:pStyle w:val="1"/>
        <w:spacing w:before="0" w:beforeAutospacing="0" w:after="0" w:afterAutospacing="0"/>
        <w:jc w:val="both"/>
        <w:rPr>
          <w:color w:val="FF0000"/>
          <w:sz w:val="24"/>
          <w:szCs w:val="24"/>
        </w:rPr>
      </w:pPr>
    </w:p>
    <w:p w:rsidR="00DD216A" w:rsidRDefault="00DD216A" w:rsidP="00DD216A">
      <w:pPr>
        <w:pStyle w:val="1"/>
        <w:spacing w:before="0" w:beforeAutospacing="0" w:after="0" w:afterAutospacing="0"/>
        <w:jc w:val="both"/>
        <w:rPr>
          <w:color w:val="FF0000"/>
          <w:sz w:val="24"/>
          <w:szCs w:val="24"/>
        </w:rPr>
      </w:pPr>
    </w:p>
    <w:p w:rsidR="00DD216A" w:rsidRPr="00DD2F4C" w:rsidRDefault="00DD216A" w:rsidP="00DD216A">
      <w:pPr>
        <w:pStyle w:val="1"/>
        <w:spacing w:before="0" w:beforeAutospacing="0" w:after="0" w:afterAutospacing="0"/>
        <w:jc w:val="both"/>
        <w:rPr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1"/>
        <w:gridCol w:w="3716"/>
      </w:tblGrid>
      <w:tr w:rsidR="00DD216A" w:rsidRPr="00DD2F4C" w:rsidTr="00DD216A">
        <w:tc>
          <w:tcPr>
            <w:tcW w:w="2651" w:type="dxa"/>
          </w:tcPr>
          <w:p w:rsidR="00DD216A" w:rsidRPr="00DD2F4C" w:rsidRDefault="00DD216A" w:rsidP="00A82E21">
            <w:pPr>
              <w:pStyle w:val="a4"/>
              <w:spacing w:before="168" w:beforeAutospacing="0" w:after="0" w:afterAutospacing="0" w:line="288" w:lineRule="atLeast"/>
            </w:pPr>
            <w:r w:rsidRPr="00DD2F4C">
              <w:rPr>
                <w:noProof/>
              </w:rPr>
              <w:lastRenderedPageBreak/>
              <w:drawing>
                <wp:inline distT="0" distB="0" distL="0" distR="0">
                  <wp:extent cx="1524000" cy="865128"/>
                  <wp:effectExtent l="1905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66" cy="8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</w:tcPr>
          <w:p w:rsidR="00DD216A" w:rsidRPr="00DD2F4C" w:rsidRDefault="00DD216A" w:rsidP="00A82E21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b/>
                <w:bCs/>
                <w:i/>
                <w:iCs/>
                <w:color w:val="262626"/>
              </w:rPr>
            </w:pPr>
          </w:p>
          <w:p w:rsidR="00DD216A" w:rsidRPr="00DD2F4C" w:rsidRDefault="00DD216A" w:rsidP="00DD216A">
            <w:pPr>
              <w:pStyle w:val="a5"/>
              <w:numPr>
                <w:ilvl w:val="0"/>
                <w:numId w:val="3"/>
              </w:numPr>
              <w:shd w:val="clear" w:color="auto" w:fill="FFFFFF"/>
              <w:ind w:left="44" w:firstLine="316"/>
              <w:outlineLvl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4F68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4"/>
                <w:szCs w:val="24"/>
                <w:lang w:eastAsia="ru-RU"/>
              </w:rPr>
              <w:t xml:space="preserve">В ТК РФ закреплены гарантии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4"/>
                <w:szCs w:val="24"/>
                <w:lang w:eastAsia="ru-RU"/>
              </w:rPr>
              <w:t>р</w:t>
            </w:r>
            <w:r w:rsidRPr="009C4F68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4"/>
                <w:szCs w:val="24"/>
                <w:lang w:eastAsia="ru-RU"/>
              </w:rPr>
              <w:t>аботников, выполняющих работу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4"/>
                <w:szCs w:val="24"/>
                <w:lang w:eastAsia="ru-RU"/>
              </w:rPr>
              <w:t xml:space="preserve"> </w:t>
            </w:r>
            <w:r w:rsidRPr="00DD2F4C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4"/>
                <w:szCs w:val="24"/>
                <w:lang w:eastAsia="ru-RU"/>
              </w:rPr>
              <w:t>по наставничеству в сфере труда</w:t>
            </w:r>
          </w:p>
        </w:tc>
      </w:tr>
    </w:tbl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ind w:firstLine="540"/>
      </w:pPr>
      <w:r w:rsidRPr="00C82641">
        <w:t xml:space="preserve">Трудовой кодекс РФ  дополнен новой </w:t>
      </w:r>
      <w:hyperlink r:id="rId19" w:history="1">
        <w:r w:rsidRPr="00C82641">
          <w:rPr>
            <w:rStyle w:val="a3"/>
            <w:color w:val="auto"/>
            <w:u w:val="none"/>
          </w:rPr>
          <w:t>статьей</w:t>
        </w:r>
      </w:hyperlink>
      <w:r w:rsidRPr="00C82641">
        <w:t xml:space="preserve"> 351.8.  об  особенностях регулирования труда наставников. </w:t>
      </w:r>
    </w:p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C82641">
        <w:t xml:space="preserve">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</w:t>
      </w:r>
    </w:p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C82641">
        <w:t xml:space="preserve">Содержание, сроки и форму выполнения обязанностей </w:t>
      </w:r>
      <w:hyperlink r:id="rId20" w:history="1">
        <w:r w:rsidRPr="00C82641">
          <w:rPr>
            <w:rStyle w:val="a3"/>
            <w:color w:val="auto"/>
            <w:u w:val="none"/>
          </w:rPr>
          <w:t>потребуется указать</w:t>
        </w:r>
      </w:hyperlink>
      <w:r w:rsidRPr="00C82641">
        <w:t xml:space="preserve"> в трудовом договоре или дополнительном соглашении. </w:t>
      </w:r>
    </w:p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C82641">
        <w:t xml:space="preserve">Наставничество должно быть оплачиваемым. Вознаграждение </w:t>
      </w:r>
      <w:hyperlink r:id="rId21" w:history="1">
        <w:r w:rsidRPr="00C82641">
          <w:rPr>
            <w:rStyle w:val="a3"/>
            <w:color w:val="auto"/>
            <w:u w:val="none"/>
          </w:rPr>
          <w:t>нужно закрепить</w:t>
        </w:r>
      </w:hyperlink>
      <w:r w:rsidRPr="00C82641">
        <w:t xml:space="preserve"> в трудовом договоре либо соглашении к нему. При этом следует учесть, в том числе, содержание и объем работы. Условия доплаты следует устанавливать не хуже, чем в НПА и отраслевых соглашениях. </w:t>
      </w:r>
    </w:p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C82641">
        <w:t xml:space="preserve">Сотрудник </w:t>
      </w:r>
      <w:hyperlink r:id="rId22" w:history="1">
        <w:r w:rsidRPr="00C82641">
          <w:rPr>
            <w:rStyle w:val="a3"/>
            <w:color w:val="auto"/>
            <w:u w:val="none"/>
          </w:rPr>
          <w:t>вправе</w:t>
        </w:r>
      </w:hyperlink>
      <w:r w:rsidRPr="00C82641">
        <w:t xml:space="preserve"> досрочно отказаться от выполнения функций наставника. Работодатель тоже сможет отменить поручение такого труда. Единственное условие - специалиста нужно уведомить об этом не менее чем за 3 рабочих дня. </w:t>
      </w:r>
    </w:p>
    <w:p w:rsidR="00DD216A" w:rsidRPr="00C82641" w:rsidRDefault="00DD216A" w:rsidP="00DD216A">
      <w:pPr>
        <w:pStyle w:val="a4"/>
        <w:spacing w:before="0" w:beforeAutospacing="0" w:after="0" w:afterAutospacing="0" w:line="288" w:lineRule="atLeast"/>
        <w:ind w:firstLine="540"/>
        <w:jc w:val="both"/>
      </w:pPr>
      <w:r w:rsidRPr="00C82641">
        <w:rPr>
          <w:bCs/>
        </w:rPr>
        <w:t xml:space="preserve">Поправки к ТК РФ о наставничестве вступят в силу с 1 марта 2025 года </w:t>
      </w:r>
    </w:p>
    <w:p w:rsidR="00DD216A" w:rsidRPr="00C82641" w:rsidRDefault="00DD216A" w:rsidP="00DD216A">
      <w:pPr>
        <w:pStyle w:val="a4"/>
        <w:spacing w:before="168" w:beforeAutospacing="0" w:after="0" w:afterAutospacing="0" w:line="288" w:lineRule="atLeast"/>
        <w:jc w:val="both"/>
        <w:rPr>
          <w:b/>
        </w:rPr>
      </w:pPr>
      <w:r w:rsidRPr="00C82641">
        <w:rPr>
          <w:b/>
          <w:i/>
          <w:iCs/>
        </w:rPr>
        <w:t xml:space="preserve">Документ: Федеральный </w:t>
      </w:r>
      <w:hyperlink r:id="rId23" w:history="1">
        <w:r w:rsidRPr="00C82641">
          <w:rPr>
            <w:rStyle w:val="a3"/>
            <w:b/>
            <w:i/>
            <w:iCs/>
            <w:color w:val="auto"/>
            <w:u w:val="none"/>
          </w:rPr>
          <w:t>закон</w:t>
        </w:r>
      </w:hyperlink>
      <w:r w:rsidRPr="00C82641">
        <w:rPr>
          <w:b/>
          <w:i/>
          <w:iCs/>
        </w:rPr>
        <w:t xml:space="preserve"> от 09.11.2024 N 381-ФЗ</w:t>
      </w:r>
      <w:r w:rsidRPr="00C82641">
        <w:rPr>
          <w:b/>
        </w:rPr>
        <w:t xml:space="preserve"> </w:t>
      </w:r>
    </w:p>
    <w:p w:rsidR="00DD216A" w:rsidRPr="00C82641" w:rsidRDefault="00DD216A" w:rsidP="00DD216A">
      <w:pPr>
        <w:pStyle w:val="a4"/>
        <w:spacing w:before="0" w:beforeAutospacing="0" w:after="0" w:afterAutospacing="0" w:line="288" w:lineRule="atLeast"/>
        <w:ind w:firstLine="540"/>
        <w:jc w:val="both"/>
      </w:pPr>
      <w:r w:rsidRPr="00C82641">
        <w:t xml:space="preserve">  </w:t>
      </w:r>
    </w:p>
    <w:p w:rsidR="00DD216A" w:rsidRPr="00DD2F4C" w:rsidRDefault="00DD216A" w:rsidP="00DD216A">
      <w:pPr>
        <w:shd w:val="clear" w:color="auto" w:fill="FFFFFF"/>
        <w:spacing w:after="18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216A" w:rsidRPr="009C4F68" w:rsidRDefault="00415FBB" w:rsidP="00DD216A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DD216A" w:rsidRPr="009C4F68">
          <w:rPr>
            <w:rFonts w:ascii="Times New Roman" w:eastAsia="Times New Roman" w:hAnsi="Times New Roman" w:cs="Times New Roman"/>
            <w:b/>
            <w:bCs/>
            <w:color w:val="1200D4"/>
            <w:sz w:val="24"/>
            <w:szCs w:val="24"/>
            <w:lang w:eastAsia="ru-RU"/>
          </w:rPr>
          <w:t>Федеральный закон от 29.10.2024 N 365-ФЗ "О внесении изменения в статью 1 Федерального закона "О минимальном размере оплаты труда"</w:t>
        </w:r>
      </w:hyperlink>
    </w:p>
    <w:p w:rsidR="00DD216A" w:rsidRPr="00DD2F4C" w:rsidRDefault="00DD216A" w:rsidP="00DD216A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минимальный размер оплаты труда на 2025год устанавливается в размере не ниже величины прожиточного минимума трудоспособного населения в целом по РФ на очередной год и не ниже минимального размера оплаты труда, установленного на текущий год.</w:t>
      </w:r>
    </w:p>
    <w:p w:rsidR="00DD216A" w:rsidRPr="00DD2F4C" w:rsidRDefault="00DD216A" w:rsidP="00DD216A">
      <w:p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С 1 января 2025 года минимальный размер оплаты труда устанавливается в сумме </w:t>
      </w:r>
      <w:r w:rsidRPr="00DD2F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22440 рублей</w:t>
      </w:r>
      <w:r w:rsidRPr="00DD2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месяц.</w:t>
      </w:r>
    </w:p>
    <w:p w:rsidR="00DD216A" w:rsidRPr="00DD2F4C" w:rsidRDefault="00DD216A" w:rsidP="00DD216A">
      <w:p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F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D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МРОТ составляет </w:t>
      </w:r>
      <w:r w:rsidRPr="00DD2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19 242 рубля</w:t>
      </w:r>
      <w:r w:rsidRPr="00DD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месяц.</w:t>
      </w:r>
    </w:p>
    <w:p w:rsidR="00DD216A" w:rsidRPr="00DD2F4C" w:rsidRDefault="00DD216A" w:rsidP="00DD216A">
      <w:p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4145E7"/>
          <w:sz w:val="18"/>
          <w:szCs w:val="18"/>
          <w:lang w:eastAsia="ru-RU"/>
        </w:rPr>
      </w:pPr>
    </w:p>
    <w:p w:rsidR="00DD216A" w:rsidRPr="00DD2F4C" w:rsidRDefault="00DD216A" w:rsidP="00DD216A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color w:val="452CFC"/>
        </w:rPr>
      </w:pPr>
      <w:r w:rsidRPr="00DD2F4C">
        <w:rPr>
          <w:rFonts w:ascii="Times New Roman" w:hAnsi="Times New Roman" w:cs="Times New Roman"/>
          <w:color w:val="452CFC"/>
        </w:rPr>
        <w:t>Постановление Правительства Москвы</w:t>
      </w:r>
    </w:p>
    <w:p w:rsidR="00DD216A" w:rsidRPr="00DD2F4C" w:rsidRDefault="00DD216A" w:rsidP="00DD216A">
      <w:pPr>
        <w:pStyle w:val="ConsPlusTitle"/>
        <w:jc w:val="center"/>
        <w:rPr>
          <w:rFonts w:ascii="Times New Roman" w:hAnsi="Times New Roman" w:cs="Times New Roman"/>
          <w:color w:val="452CFC"/>
          <w:sz w:val="22"/>
          <w:szCs w:val="22"/>
        </w:rPr>
      </w:pPr>
      <w:r w:rsidRPr="00DD2F4C">
        <w:rPr>
          <w:rFonts w:ascii="Times New Roman" w:hAnsi="Times New Roman" w:cs="Times New Roman"/>
          <w:color w:val="452CFC"/>
          <w:sz w:val="22"/>
          <w:szCs w:val="22"/>
        </w:rPr>
        <w:t>от 5 ноября 2024 г. N 2482-ПП</w:t>
      </w:r>
    </w:p>
    <w:p w:rsidR="00DD216A" w:rsidRDefault="00DD216A" w:rsidP="00DD216A">
      <w:pPr>
        <w:pStyle w:val="ConsPlusTitle"/>
        <w:jc w:val="center"/>
        <w:rPr>
          <w:rFonts w:ascii="Times New Roman" w:hAnsi="Times New Roman" w:cs="Times New Roman"/>
          <w:color w:val="452CFC"/>
          <w:sz w:val="22"/>
          <w:szCs w:val="22"/>
        </w:rPr>
      </w:pPr>
      <w:r w:rsidRPr="00DD2F4C">
        <w:rPr>
          <w:rFonts w:ascii="Times New Roman" w:hAnsi="Times New Roman" w:cs="Times New Roman"/>
          <w:color w:val="452CFC"/>
          <w:sz w:val="22"/>
          <w:szCs w:val="22"/>
        </w:rPr>
        <w:t xml:space="preserve">Об увеличении величины прожиточного минимума </w:t>
      </w:r>
    </w:p>
    <w:p w:rsidR="00DD216A" w:rsidRPr="00DD2F4C" w:rsidRDefault="00DD216A" w:rsidP="00DD216A">
      <w:pPr>
        <w:pStyle w:val="ConsPlusTitle"/>
        <w:jc w:val="center"/>
        <w:rPr>
          <w:rFonts w:ascii="Times New Roman" w:hAnsi="Times New Roman" w:cs="Times New Roman"/>
          <w:color w:val="452CFC"/>
          <w:sz w:val="22"/>
          <w:szCs w:val="22"/>
        </w:rPr>
      </w:pPr>
      <w:r w:rsidRPr="00DD2F4C">
        <w:rPr>
          <w:rFonts w:ascii="Times New Roman" w:hAnsi="Times New Roman" w:cs="Times New Roman"/>
          <w:color w:val="452CFC"/>
          <w:sz w:val="22"/>
          <w:szCs w:val="22"/>
        </w:rPr>
        <w:t>в городе Москве на 2025год</w:t>
      </w:r>
    </w:p>
    <w:p w:rsidR="00DD216A" w:rsidRPr="00DD2F4C" w:rsidRDefault="00DD216A" w:rsidP="00DD216A">
      <w:pPr>
        <w:pStyle w:val="ConsPlusTitle"/>
        <w:jc w:val="both"/>
        <w:rPr>
          <w:rFonts w:ascii="Times New Roman" w:hAnsi="Times New Roman" w:cs="Times New Roman"/>
          <w:color w:val="4145E7"/>
          <w:sz w:val="18"/>
          <w:szCs w:val="18"/>
        </w:rPr>
      </w:pP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 xml:space="preserve">В соответствии со </w:t>
      </w:r>
      <w:hyperlink r:id="rId25" w:tooltip="Федеральный закон от 24.10.1997 N 134-ФЗ (ред. от 29.12.2020, с изм. от 29.10.2024) &quot;О прожиточном минимуме в Российской Федерации&quot;{КонсультантПлюс}" w:history="1">
        <w:r w:rsidRPr="00DD2F4C">
          <w:t>статьей 4</w:t>
        </w:r>
      </w:hyperlink>
      <w:r w:rsidRPr="00DD2F4C">
        <w:t xml:space="preserve"> Федерального закона от 24 октября 1997 г. N 134-ФЗ "О прожиточном минимуме в Российской Федерации" Правительство Москвы постановляет: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1. Установить величину прожиточного минимума в городе Москве на 2025 год: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- в расчете на душу населения - 23908 рублей;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 xml:space="preserve">- для трудоспособного населения - </w:t>
      </w:r>
      <w:r w:rsidRPr="00DD2F4C">
        <w:rPr>
          <w:b/>
        </w:rPr>
        <w:t>27302 рубля;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- для пенсионеров - 17897 рублей;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- для детей - 20663 рубля.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2. Настоящее постановление вступает в силу с 1 января 2025 г.</w:t>
      </w:r>
    </w:p>
    <w:p w:rsidR="00DD216A" w:rsidRPr="00DD2F4C" w:rsidRDefault="00DD216A" w:rsidP="00DD216A">
      <w:pPr>
        <w:pStyle w:val="ConsPlusNormal"/>
        <w:ind w:firstLine="540"/>
        <w:jc w:val="both"/>
      </w:pPr>
      <w:r w:rsidRPr="00DD2F4C">
        <w:t>3.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 w:rsidR="00DD216A" w:rsidRPr="00DD2F4C" w:rsidRDefault="00DD216A" w:rsidP="00DD216A">
      <w:pPr>
        <w:pStyle w:val="ConsPlusNormal"/>
      </w:pPr>
      <w:r>
        <w:t xml:space="preserve">                                                       </w:t>
      </w:r>
      <w:r w:rsidRPr="00DD2F4C">
        <w:t>Мэр Москвы</w:t>
      </w:r>
      <w:r>
        <w:t xml:space="preserve">  </w:t>
      </w:r>
      <w:r w:rsidRPr="00DD2F4C">
        <w:t>С.С. Собянин</w:t>
      </w:r>
    </w:p>
    <w:p w:rsidR="00DD216A" w:rsidRDefault="00DD216A" w:rsidP="00DD216A">
      <w:pPr>
        <w:pStyle w:val="1"/>
        <w:numPr>
          <w:ilvl w:val="0"/>
          <w:numId w:val="3"/>
        </w:numPr>
        <w:spacing w:before="0" w:beforeAutospacing="0" w:after="0" w:afterAutospacing="0"/>
        <w:jc w:val="center"/>
        <w:rPr>
          <w:color w:val="452CFC"/>
          <w:sz w:val="24"/>
          <w:szCs w:val="24"/>
        </w:rPr>
      </w:pPr>
      <w:r w:rsidRPr="00FD443B">
        <w:rPr>
          <w:color w:val="452CFC"/>
          <w:sz w:val="24"/>
          <w:szCs w:val="24"/>
        </w:rPr>
        <w:lastRenderedPageBreak/>
        <w:t>Постановление Правительства РФ</w:t>
      </w:r>
    </w:p>
    <w:p w:rsidR="00DD216A" w:rsidRPr="00FD443B" w:rsidRDefault="00DD216A" w:rsidP="00DD216A">
      <w:pPr>
        <w:pStyle w:val="1"/>
        <w:spacing w:before="0" w:beforeAutospacing="0" w:after="0" w:afterAutospacing="0"/>
        <w:ind w:left="360"/>
        <w:jc w:val="center"/>
        <w:rPr>
          <w:color w:val="452CFC"/>
          <w:sz w:val="24"/>
          <w:szCs w:val="24"/>
        </w:rPr>
      </w:pPr>
      <w:r w:rsidRPr="00FD443B">
        <w:rPr>
          <w:color w:val="452CFC"/>
          <w:sz w:val="24"/>
          <w:szCs w:val="24"/>
        </w:rPr>
        <w:t xml:space="preserve"> от 04.10.2024 N 1335</w:t>
      </w:r>
    </w:p>
    <w:p w:rsidR="00DD216A" w:rsidRDefault="00DD216A" w:rsidP="00DD216A">
      <w:pPr>
        <w:pStyle w:val="1"/>
        <w:spacing w:before="0" w:beforeAutospacing="0" w:after="0" w:afterAutospacing="0"/>
        <w:jc w:val="center"/>
        <w:rPr>
          <w:color w:val="452CFC"/>
          <w:sz w:val="24"/>
          <w:szCs w:val="24"/>
        </w:rPr>
      </w:pPr>
      <w:r w:rsidRPr="00FD443B">
        <w:rPr>
          <w:color w:val="452CFC"/>
          <w:sz w:val="24"/>
          <w:szCs w:val="24"/>
        </w:rPr>
        <w:t xml:space="preserve"> "О переносе выходных дней в 2025 году"</w:t>
      </w:r>
    </w:p>
    <w:p w:rsidR="00DD216A" w:rsidRPr="00FD443B" w:rsidRDefault="00DD216A" w:rsidP="00DD216A">
      <w:pPr>
        <w:pStyle w:val="1"/>
        <w:spacing w:before="0" w:beforeAutospacing="0" w:after="0" w:afterAutospacing="0"/>
        <w:jc w:val="center"/>
        <w:rPr>
          <w:color w:val="452CFC"/>
          <w:sz w:val="24"/>
          <w:szCs w:val="24"/>
        </w:rPr>
      </w:pP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>В целях рационального использования работниками выходных и нерабочих праздничных дней Правительство Российской Федерации постановляет:</w:t>
      </w:r>
    </w:p>
    <w:p w:rsidR="00DD216A" w:rsidRPr="00DD2F4C" w:rsidRDefault="00415FBB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hyperlink r:id="rId26" w:anchor="dst1804" w:history="1">
        <w:r w:rsidR="00DD216A" w:rsidRPr="00C82641">
          <w:rPr>
            <w:rStyle w:val="a3"/>
            <w:color w:val="auto"/>
            <w:u w:val="none"/>
          </w:rPr>
          <w:t>Перенести</w:t>
        </w:r>
      </w:hyperlink>
      <w:r w:rsidR="00DD216A" w:rsidRPr="00C82641">
        <w:t> </w:t>
      </w:r>
      <w:r w:rsidR="00DD216A" w:rsidRPr="00DD2F4C">
        <w:rPr>
          <w:color w:val="000000"/>
        </w:rPr>
        <w:t>в 2025 году следующие выходные дни:</w:t>
      </w: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 xml:space="preserve">с субботы </w:t>
      </w:r>
      <w:r w:rsidRPr="00DD2F4C">
        <w:rPr>
          <w:color w:val="FF0000"/>
        </w:rPr>
        <w:t>4 января</w:t>
      </w:r>
      <w:r w:rsidRPr="00DD2F4C">
        <w:rPr>
          <w:color w:val="000000"/>
        </w:rPr>
        <w:t xml:space="preserve"> на </w:t>
      </w:r>
      <w:r w:rsidRPr="00DD2F4C">
        <w:t xml:space="preserve">пятницу </w:t>
      </w:r>
      <w:r w:rsidRPr="00DD2F4C">
        <w:rPr>
          <w:color w:val="FF0000"/>
        </w:rPr>
        <w:t>2 мая</w:t>
      </w:r>
      <w:r w:rsidRPr="00DD2F4C">
        <w:rPr>
          <w:color w:val="000000"/>
        </w:rPr>
        <w:t>;</w:t>
      </w: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 xml:space="preserve">с воскресенья </w:t>
      </w:r>
      <w:r w:rsidRPr="00DD2F4C">
        <w:rPr>
          <w:color w:val="FF0000"/>
        </w:rPr>
        <w:t>5 января</w:t>
      </w:r>
      <w:r w:rsidRPr="00DD2F4C">
        <w:rPr>
          <w:color w:val="000000"/>
        </w:rPr>
        <w:t xml:space="preserve"> на </w:t>
      </w:r>
      <w:r w:rsidRPr="00DD2F4C">
        <w:t>среду</w:t>
      </w:r>
      <w:r w:rsidRPr="00DD2F4C">
        <w:rPr>
          <w:color w:val="000000"/>
        </w:rPr>
        <w:t xml:space="preserve"> </w:t>
      </w:r>
      <w:r w:rsidRPr="00DD2F4C">
        <w:rPr>
          <w:color w:val="FF0000"/>
        </w:rPr>
        <w:t>31 декабря</w:t>
      </w:r>
      <w:r w:rsidRPr="00DD2F4C">
        <w:rPr>
          <w:color w:val="000000"/>
        </w:rPr>
        <w:t>;</w:t>
      </w: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 xml:space="preserve">с воскресенья </w:t>
      </w:r>
      <w:r w:rsidRPr="00DD2F4C">
        <w:rPr>
          <w:color w:val="FF0000"/>
        </w:rPr>
        <w:t>23 февраля</w:t>
      </w:r>
      <w:r w:rsidRPr="00DD2F4C">
        <w:rPr>
          <w:color w:val="000000"/>
        </w:rPr>
        <w:t xml:space="preserve"> на </w:t>
      </w:r>
      <w:r w:rsidRPr="00DD2F4C">
        <w:t>четверг</w:t>
      </w:r>
      <w:r w:rsidRPr="00DD2F4C">
        <w:rPr>
          <w:color w:val="FF0000"/>
        </w:rPr>
        <w:t xml:space="preserve"> 8 мая</w:t>
      </w:r>
      <w:r w:rsidRPr="00DD2F4C">
        <w:rPr>
          <w:color w:val="000000"/>
        </w:rPr>
        <w:t>;</w:t>
      </w: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 xml:space="preserve">с субботы </w:t>
      </w:r>
      <w:r w:rsidRPr="00DD2F4C">
        <w:rPr>
          <w:color w:val="FF0000"/>
        </w:rPr>
        <w:t>8 марта</w:t>
      </w:r>
      <w:r w:rsidRPr="00DD2F4C">
        <w:rPr>
          <w:color w:val="000000"/>
        </w:rPr>
        <w:t xml:space="preserve"> на пятницу </w:t>
      </w:r>
      <w:r w:rsidRPr="00DD2F4C">
        <w:rPr>
          <w:color w:val="FF0000"/>
        </w:rPr>
        <w:t>13 июня</w:t>
      </w:r>
      <w:r w:rsidRPr="00DD2F4C">
        <w:rPr>
          <w:color w:val="000000"/>
        </w:rPr>
        <w:t>;</w:t>
      </w:r>
    </w:p>
    <w:p w:rsidR="00DD216A" w:rsidRPr="00DD2F4C" w:rsidRDefault="00DD216A" w:rsidP="00DD216A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D2F4C">
        <w:rPr>
          <w:color w:val="000000"/>
        </w:rPr>
        <w:t xml:space="preserve">с субботы </w:t>
      </w:r>
      <w:r w:rsidRPr="00DD2F4C">
        <w:rPr>
          <w:color w:val="FF0000"/>
        </w:rPr>
        <w:t>1 ноября</w:t>
      </w:r>
      <w:r w:rsidRPr="00DD2F4C">
        <w:rPr>
          <w:color w:val="000000"/>
        </w:rPr>
        <w:t xml:space="preserve"> на понедельник </w:t>
      </w:r>
      <w:r w:rsidRPr="00DD2F4C">
        <w:rPr>
          <w:color w:val="FF0000"/>
        </w:rPr>
        <w:t>3 ноября</w:t>
      </w:r>
      <w:r w:rsidRPr="00DD2F4C">
        <w:rPr>
          <w:color w:val="000000"/>
        </w:rPr>
        <w:t>.</w:t>
      </w:r>
    </w:p>
    <w:p w:rsidR="00DD216A" w:rsidRPr="00DD2F4C" w:rsidRDefault="00DD216A" w:rsidP="00DD216A">
      <w:pPr>
        <w:pStyle w:val="alignright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</w:rPr>
      </w:pPr>
      <w:r w:rsidRPr="00DD2F4C">
        <w:rPr>
          <w:color w:val="000000"/>
        </w:rPr>
        <w:t>Председатель Правительства</w:t>
      </w:r>
      <w:r>
        <w:rPr>
          <w:color w:val="000000"/>
        </w:rPr>
        <w:t xml:space="preserve"> РФ Мишустин М.</w:t>
      </w:r>
    </w:p>
    <w:p w:rsidR="00DD216A" w:rsidRPr="00DD2F4C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jc w:val="center"/>
        <w:rPr>
          <w:color w:val="452CFC"/>
        </w:rPr>
      </w:pPr>
      <w:r w:rsidRPr="00FD443B">
        <w:rPr>
          <w:b/>
          <w:bCs/>
          <w:color w:val="452CFC"/>
        </w:rPr>
        <w:t>Роструд запустил сервис для заказа профилактического визита инспекции труда (18.09.2024)</w:t>
      </w:r>
    </w:p>
    <w:p w:rsidR="00DD216A" w:rsidRPr="00FD443B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FD443B">
        <w:t xml:space="preserve">С помощью портала </w:t>
      </w:r>
      <w:hyperlink w:tgtFrame="_blank" w:tooltip="&lt;div class=&quot;doc www&quot;&gt;&lt;span class=&quot;aligner&quot;&gt;&lt;div class=&quot;icon listDocWWW-16&quot;&gt;&lt;/div&gt;&lt;/span&gt;https://онлайнинспекция.рф/&lt;/div&gt;" w:history="1">
        <w:r w:rsidRPr="00FD443B">
          <w:rPr>
            <w:rStyle w:val="a3"/>
          </w:rPr>
          <w:t>"Онлайнинспекция.рф"</w:t>
        </w:r>
      </w:hyperlink>
      <w:r w:rsidRPr="00FD443B">
        <w:t xml:space="preserve"> теперь можно пригласить инспектора труда в организацию с профилактическим визитом. Для этого работодателю достаточно направить заявку в разделе </w:t>
      </w:r>
      <w:hyperlink w:tgtFrame="_blank" w:tooltip="&lt;div class=&quot;doc www&quot;&gt;&lt;span class=&quot;aligner&quot;&gt;&lt;div class=&quot;icon listDocWWW-16&quot;&gt;&lt;/div&gt;&lt;/span&gt;https://онлайнинспекция.рф/employer&lt;/div&gt;" w:history="1">
        <w:r w:rsidRPr="00FD443B">
          <w:rPr>
            <w:rStyle w:val="a3"/>
          </w:rPr>
          <w:t>"Предприятие информирует"</w:t>
        </w:r>
      </w:hyperlink>
      <w:r w:rsidRPr="00FD443B">
        <w:t xml:space="preserve">. </w:t>
      </w:r>
    </w:p>
    <w:p w:rsidR="00DD216A" w:rsidRPr="00FD443B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</w:pPr>
      <w:r w:rsidRPr="00FD443B">
        <w:t xml:space="preserve">Ведомство напомнило, что профилактический визит позволяет предупредить производственные риски и не допускать нарушений трудовых прав. По его итогам нет штрафов и протоколов. Инспектор приходит, чтобы помочь работодателю устранить нарушения, если они есть, а не наказать за них. </w:t>
      </w:r>
    </w:p>
    <w:p w:rsidR="00DD216A" w:rsidRPr="00FD443B" w:rsidRDefault="00DD216A" w:rsidP="00DD216A">
      <w:pPr>
        <w:pStyle w:val="a4"/>
        <w:spacing w:before="168" w:beforeAutospacing="0" w:after="0" w:afterAutospacing="0" w:line="288" w:lineRule="atLeast"/>
        <w:ind w:firstLine="540"/>
        <w:jc w:val="both"/>
        <w:rPr>
          <w:b/>
        </w:rPr>
      </w:pPr>
      <w:r w:rsidRPr="00FD443B">
        <w:rPr>
          <w:b/>
          <w:i/>
          <w:iCs/>
        </w:rPr>
        <w:t>Документ: Информация Роструда от 13.09.2024 (</w:t>
      </w:r>
      <w:hyperlink r:id="rId27" w:tgtFrame="_blank" w:tooltip="&lt;div class=&quot;doc www&quot;&gt;&lt;span class=&quot;aligner&quot;&gt;&lt;div class=&quot;icon listDocWWW-16&quot;&gt;&lt;/div&gt;&lt;/span&gt;https://rostrud.gov.ru/press_center/novosti/1265433/&lt;/div&gt;" w:history="1">
        <w:r w:rsidRPr="00FD443B">
          <w:rPr>
            <w:rStyle w:val="a3"/>
            <w:b/>
            <w:i/>
            <w:iCs/>
          </w:rPr>
          <w:t>https://rostrud.gov.ru/press_center/novosti/1265433/</w:t>
        </w:r>
      </w:hyperlink>
      <w:r w:rsidRPr="00FD443B">
        <w:rPr>
          <w:b/>
          <w:i/>
          <w:iCs/>
        </w:rPr>
        <w:t>)</w:t>
      </w:r>
      <w:r w:rsidRPr="00FD443B">
        <w:rPr>
          <w:b/>
        </w:rPr>
        <w:t xml:space="preserve"> </w:t>
      </w:r>
    </w:p>
    <w:p w:rsidR="00DD216A" w:rsidRPr="009C4F68" w:rsidRDefault="00DD216A" w:rsidP="00DD216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52CF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2CFC"/>
          <w:kern w:val="36"/>
          <w:sz w:val="24"/>
          <w:szCs w:val="24"/>
          <w:lang w:eastAsia="ru-RU"/>
        </w:rPr>
        <w:lastRenderedPageBreak/>
        <w:t>Р</w:t>
      </w:r>
      <w:r w:rsidRPr="009C4F68">
        <w:rPr>
          <w:rFonts w:ascii="Times New Roman" w:eastAsia="Times New Roman" w:hAnsi="Times New Roman" w:cs="Times New Roman"/>
          <w:b/>
          <w:bCs/>
          <w:color w:val="452CFC"/>
          <w:kern w:val="36"/>
          <w:sz w:val="24"/>
          <w:szCs w:val="24"/>
          <w:lang w:eastAsia="ru-RU"/>
        </w:rPr>
        <w:t>оструд: если стороны не договорились о разделении отпуска на части, его предоставляют полностью</w:t>
      </w:r>
    </w:p>
    <w:p w:rsidR="00DD216A" w:rsidRDefault="00DD216A" w:rsidP="00DD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921339"/>
            <wp:effectExtent l="19050" t="0" r="0" b="0"/>
            <wp:docPr id="4" name="Рисунок 1" descr="http://storage.consultant.ru/ondb/thumbs/202411/12/rgbOm2U-ItZC4sYs1YtwGKsKMAInhMUB.280x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onsultant.ru/ondb/thumbs/202411/12/rgbOm2U-ItZC4sYs1YtwGKsKMAInhMUB.280x183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6A" w:rsidRPr="00FD443B" w:rsidRDefault="00DD216A" w:rsidP="00DD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Разбить на части ежегодный отдых в графике отпусков  допустимо только по соглашению сторон. Порядка оформления такого соглашения в законе нет, поэтому работодатель может его определить, например, в локальном нормативном акте. Ведомство </w:t>
      </w:r>
      <w:hyperlink r:id="rId29" w:history="1">
        <w:r w:rsidRPr="00FD4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полагает</w:t>
        </w:r>
      </w:hyperlink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инициативу или согласие на разделение отпуска сотрудник выражает:</w:t>
      </w:r>
    </w:p>
    <w:p w:rsidR="00DD216A" w:rsidRPr="00FD443B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Default="00DD216A" w:rsidP="00DD2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заявлении;</w:t>
      </w:r>
    </w:p>
    <w:p w:rsidR="00DD216A" w:rsidRPr="00FD443B" w:rsidRDefault="00DD216A" w:rsidP="00DD2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отметке в графике отпусков;</w:t>
      </w:r>
    </w:p>
    <w:p w:rsidR="00DD216A" w:rsidRDefault="00DD216A" w:rsidP="00DD2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 работодателя о разделении отдыха.</w:t>
      </w:r>
    </w:p>
    <w:p w:rsidR="00DD216A" w:rsidRPr="00FD443B" w:rsidRDefault="00DD216A" w:rsidP="00DD21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Роструд также </w:t>
      </w:r>
      <w:hyperlink r:id="rId30" w:history="1">
        <w:r w:rsidRPr="00FD4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считает</w:t>
        </w:r>
      </w:hyperlink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 договоренности сторон сотрудник может взять допотпуск отдельно от основного. Если соглашения нет, отпуск предоставляют целиком.</w:t>
      </w:r>
    </w:p>
    <w:p w:rsidR="00DD216A" w:rsidRPr="00FD443B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Отметим, ведомство </w:t>
      </w:r>
      <w:hyperlink r:id="rId31" w:history="1">
        <w:r w:rsidRPr="00FD4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уже указывало</w:t>
        </w:r>
      </w:hyperlink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вопрос о разделении отдыха на части работодатель не может решать сам. Мнение разделяют и суды, например </w:t>
      </w:r>
      <w:hyperlink r:id="rId32" w:history="1">
        <w:r w:rsidRPr="00FD4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9-й КСОЮ</w:t>
        </w:r>
      </w:hyperlink>
      <w:r w:rsidRPr="00FD4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16A" w:rsidRPr="00FD443B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A" w:rsidRPr="00FD443B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Документы:</w:t>
      </w:r>
    </w:p>
    <w:p w:rsidR="00DD216A" w:rsidRPr="00FD443B" w:rsidRDefault="00DD216A" w:rsidP="00DD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hyperlink r:id="rId33" w:history="1">
        <w:r w:rsidRPr="00FD443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Письмо Роструда от 08.10.2024 N ПГ/19878-6-1</w:t>
        </w:r>
      </w:hyperlink>
    </w:p>
    <w:p w:rsidR="00DD216A" w:rsidRPr="00FD443B" w:rsidRDefault="00DD216A" w:rsidP="00DD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216A" w:rsidRPr="00FD443B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FD443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DD216A" w:rsidRPr="00FD443B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Pr="00FD443B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DD216A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Бюллетень подготовлен</w:t>
      </w:r>
    </w:p>
    <w:p w:rsidR="00DD216A" w:rsidRDefault="00DD216A" w:rsidP="00DD216A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Правовым отделом</w:t>
      </w:r>
    </w:p>
    <w:p w:rsidR="00DD216A" w:rsidRDefault="00DD216A" w:rsidP="00DD216A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Тел. 8(495)609-97-43</w:t>
      </w:r>
    </w:p>
    <w:p w:rsidR="00DD216A" w:rsidRDefault="00DD216A" w:rsidP="00DD216A">
      <w:pPr>
        <w:shd w:val="clear" w:color="auto" w:fill="FFFFFF" w:themeFill="background1"/>
        <w:spacing w:after="100" w:afterAutospacing="1" w:line="36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2709E8" w:rsidRDefault="00673560"/>
    <w:sectPr w:rsidR="002709E8" w:rsidSect="00DD216A">
      <w:footerReference w:type="default" r:id="rId34"/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60" w:rsidRDefault="00673560" w:rsidP="00DD216A">
      <w:pPr>
        <w:spacing w:after="0" w:line="240" w:lineRule="auto"/>
      </w:pPr>
      <w:r>
        <w:separator/>
      </w:r>
    </w:p>
  </w:endnote>
  <w:endnote w:type="continuationSeparator" w:id="0">
    <w:p w:rsidR="00673560" w:rsidRDefault="00673560" w:rsidP="00DD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943"/>
      <w:docPartObj>
        <w:docPartGallery w:val="Page Numbers (Bottom of Page)"/>
        <w:docPartUnique/>
      </w:docPartObj>
    </w:sdtPr>
    <w:sdtContent>
      <w:p w:rsidR="00DD216A" w:rsidRDefault="00415FBB">
        <w:pPr>
          <w:pStyle w:val="ab"/>
          <w:jc w:val="center"/>
        </w:pPr>
        <w:fldSimple w:instr=" PAGE   \* MERGEFORMAT ">
          <w:r w:rsidR="008176F9">
            <w:rPr>
              <w:noProof/>
            </w:rPr>
            <w:t>1</w:t>
          </w:r>
        </w:fldSimple>
      </w:p>
    </w:sdtContent>
  </w:sdt>
  <w:p w:rsidR="00DD216A" w:rsidRDefault="00DD21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60" w:rsidRDefault="00673560" w:rsidP="00DD216A">
      <w:pPr>
        <w:spacing w:after="0" w:line="240" w:lineRule="auto"/>
      </w:pPr>
      <w:r>
        <w:separator/>
      </w:r>
    </w:p>
  </w:footnote>
  <w:footnote w:type="continuationSeparator" w:id="0">
    <w:p w:rsidR="00673560" w:rsidRDefault="00673560" w:rsidP="00DD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172"/>
    <w:multiLevelType w:val="hybridMultilevel"/>
    <w:tmpl w:val="3AE6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D0"/>
    <w:multiLevelType w:val="hybridMultilevel"/>
    <w:tmpl w:val="B822A28E"/>
    <w:lvl w:ilvl="0" w:tplc="3EC45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60CF"/>
    <w:multiLevelType w:val="multilevel"/>
    <w:tmpl w:val="95C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DD216A"/>
    <w:rsid w:val="00225C41"/>
    <w:rsid w:val="002D145B"/>
    <w:rsid w:val="0031196B"/>
    <w:rsid w:val="00415FBB"/>
    <w:rsid w:val="00673560"/>
    <w:rsid w:val="008176F9"/>
    <w:rsid w:val="008923B5"/>
    <w:rsid w:val="00A61922"/>
    <w:rsid w:val="00AF6615"/>
    <w:rsid w:val="00C82641"/>
    <w:rsid w:val="00CF270E"/>
    <w:rsid w:val="00DD216A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A"/>
  </w:style>
  <w:style w:type="paragraph" w:styleId="1">
    <w:name w:val="heading 1"/>
    <w:basedOn w:val="a"/>
    <w:link w:val="10"/>
    <w:uiPriority w:val="9"/>
    <w:qFormat/>
    <w:rsid w:val="00DD2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21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16A"/>
    <w:pPr>
      <w:ind w:left="720"/>
      <w:contextualSpacing/>
    </w:pPr>
  </w:style>
  <w:style w:type="table" w:styleId="a6">
    <w:name w:val="Table Grid"/>
    <w:basedOn w:val="a1"/>
    <w:uiPriority w:val="59"/>
    <w:rsid w:val="00DD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D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1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16A"/>
  </w:style>
  <w:style w:type="paragraph" w:styleId="ab">
    <w:name w:val="footer"/>
    <w:basedOn w:val="a"/>
    <w:link w:val="ac"/>
    <w:uiPriority w:val="99"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2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070&amp;dst=100010&amp;field=134&amp;date=14.11.2024" TargetMode="External"/><Relationship Id="rId13" Type="http://schemas.openxmlformats.org/officeDocument/2006/relationships/hyperlink" Target="https://online.consultant.ru/riv/cgi/online.cgi?req=doc&amp;rnd=ef9371e2138818dcadafa69ebb7e3066&amp;base=LAW&amp;n=475114&amp;dst=716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consultant.ru/document/cons_doc_LAW_475114/98ef2900507766e70ff29c0b9d8e2353ea80a1c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0070&amp;dst=100015&amp;field=134&amp;date=14.11.202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online.consultant.ru/riv/cgi/online.cgi?req=doc&amp;rnd=ef9371e2138818dcadafa69ebb7e3066&amp;base=LAW&amp;n=486920&amp;dst=100010" TargetMode="External"/><Relationship Id="rId12" Type="http://schemas.openxmlformats.org/officeDocument/2006/relationships/hyperlink" Target="https://online.consultant.ru/riv/cgi/online.cgi?req=doc&amp;rnd=ef9371e2138818dcadafa69ebb7e3066&amp;base=LAW&amp;n=475114&amp;dst=721" TargetMode="External"/><Relationship Id="rId17" Type="http://schemas.openxmlformats.org/officeDocument/2006/relationships/hyperlink" Target="https://online.consultant.ru/riv/cgi/online.cgi?req=doc&amp;rnd=ef9371e2138818dcadafa69ebb7e3066&amp;base=LAW&amp;n=486920&amp;dst=100010" TargetMode="External"/><Relationship Id="rId25" Type="http://schemas.openxmlformats.org/officeDocument/2006/relationships/hyperlink" Target="https://login.consultant.ru/link/?req=doc&amp;base=LAW&amp;n=372860&amp;date=12.11.2024&amp;dst=100078&amp;field=134&amp;demo=2" TargetMode="External"/><Relationship Id="rId33" Type="http://schemas.openxmlformats.org/officeDocument/2006/relationships/hyperlink" Target="https://login.consultant.ru/link/?req=doc&amp;base=QUEST&amp;n=226836&amp;dst=100013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consultant.ru/riv/cgi/online.cgi?req=news&amp;op=page&amp;page=%2Fnews%2F24021%2F" TargetMode="External"/><Relationship Id="rId20" Type="http://schemas.openxmlformats.org/officeDocument/2006/relationships/hyperlink" Target="https://login.consultant.ru/link/?req=doc&amp;base=LAW&amp;n=490070&amp;dst=100012&amp;field=134&amp;date=14.11.2024" TargetMode="External"/><Relationship Id="rId29" Type="http://schemas.openxmlformats.org/officeDocument/2006/relationships/hyperlink" Target="https://login.consultant.ru/link/?req=doc&amp;base=QUEST&amp;n=226836&amp;dst=100014&amp;demo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consultant.ru/riv/cgi/online.cgi?req=doc&amp;rnd=ef9371e2138818dcadafa69ebb7e3066&amp;base=LAW&amp;n=486920&amp;dst=100011" TargetMode="External"/><Relationship Id="rId24" Type="http://schemas.openxmlformats.org/officeDocument/2006/relationships/hyperlink" Target="https://www.consultant.ru/document/cons_doc_LAW_489264/" TargetMode="External"/><Relationship Id="rId32" Type="http://schemas.openxmlformats.org/officeDocument/2006/relationships/hyperlink" Target="https://login.consultant.ru/link/?req=doc&amp;base=KSOJ009&amp;n=67069&amp;dst=100033&amp;dem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.consultant.ru/riv/cgi/online.cgi?req=doc&amp;rnd=ef9371e2138818dcadafa69ebb7e3066&amp;base=LAW&amp;n=486920&amp;dst=100013" TargetMode="External"/><Relationship Id="rId23" Type="http://schemas.openxmlformats.org/officeDocument/2006/relationships/hyperlink" Target="https://login.consultant.ru/link/?req=doc&amp;base=LAW&amp;n=490070&amp;dst=100010&amp;field=134&amp;date=14.11.2024" TargetMode="External"/><Relationship Id="rId28" Type="http://schemas.openxmlformats.org/officeDocument/2006/relationships/image" Target="media/image3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eq=doc&amp;base=LAW&amp;n=490070&amp;dst=100010&amp;field=134&amp;date=14.11.2024" TargetMode="External"/><Relationship Id="rId31" Type="http://schemas.openxmlformats.org/officeDocument/2006/relationships/hyperlink" Target="https://login.consultant.ru/link/?req=doc&amp;base=QUEST&amp;n=221319&amp;dst=100015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9264/" TargetMode="External"/><Relationship Id="rId14" Type="http://schemas.openxmlformats.org/officeDocument/2006/relationships/hyperlink" Target="https://online.consultant.ru/riv/cgi/online.cgi?req=doc&amp;rnd=ef9371e2138818dcadafa69ebb7e3066&amp;base=LAW&amp;n=486920&amp;dst=100010" TargetMode="External"/><Relationship Id="rId22" Type="http://schemas.openxmlformats.org/officeDocument/2006/relationships/hyperlink" Target="https://login.consultant.ru/link/?req=doc&amp;base=LAW&amp;n=490070&amp;dst=100016&amp;field=134&amp;date=14.11.2024" TargetMode="External"/><Relationship Id="rId27" Type="http://schemas.openxmlformats.org/officeDocument/2006/relationships/hyperlink" Target="https://rostrud.gov.ru/press_center/novosti/1265433/" TargetMode="External"/><Relationship Id="rId30" Type="http://schemas.openxmlformats.org/officeDocument/2006/relationships/hyperlink" Target="https://login.consultant.ru/link/?req=doc&amp;base=QUEST&amp;n=226837&amp;dst=100012&amp;demo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2198</Words>
  <Characters>12529</Characters>
  <Application>Microsoft Office Word</Application>
  <DocSecurity>0</DocSecurity>
  <Lines>104</Lines>
  <Paragraphs>29</Paragraphs>
  <ScaleCrop>false</ScaleCrop>
  <Company>Krokoz™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dcterms:created xsi:type="dcterms:W3CDTF">2024-11-22T13:07:00Z</dcterms:created>
  <dcterms:modified xsi:type="dcterms:W3CDTF">2024-11-22T13:07:00Z</dcterms:modified>
</cp:coreProperties>
</file>